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C8" w:rsidRDefault="005B13C8" w:rsidP="005B13C8">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5B13C8">
        <w:rPr>
          <w:rFonts w:ascii="Arial" w:hAnsi="Arial" w:cs="Arial"/>
          <w:sz w:val="22"/>
          <w:szCs w:val="22"/>
        </w:rPr>
        <w:t xml:space="preserve">There are a number of companies in </w:t>
      </w:r>
      <w:smartTag w:uri="urn:schemas-microsoft-com:office:smarttags" w:element="State">
        <w:r w:rsidRPr="005B13C8">
          <w:rPr>
            <w:rFonts w:ascii="Arial" w:hAnsi="Arial" w:cs="Arial"/>
            <w:sz w:val="22"/>
            <w:szCs w:val="22"/>
          </w:rPr>
          <w:t>Queensland</w:t>
        </w:r>
      </w:smartTag>
      <w:r w:rsidRPr="005B13C8">
        <w:rPr>
          <w:rFonts w:ascii="Arial" w:hAnsi="Arial" w:cs="Arial"/>
          <w:sz w:val="22"/>
          <w:szCs w:val="22"/>
        </w:rPr>
        <w:t xml:space="preserve"> investing in alternative fuels projects that could lead to </w:t>
      </w:r>
      <w:smartTag w:uri="urn:schemas-microsoft-com:office:smarttags" w:element="place">
        <w:smartTag w:uri="urn:schemas-microsoft-com:office:smarttags" w:element="State">
          <w:r w:rsidRPr="005B13C8">
            <w:rPr>
              <w:rFonts w:ascii="Arial" w:hAnsi="Arial" w:cs="Arial"/>
              <w:sz w:val="22"/>
              <w:szCs w:val="22"/>
            </w:rPr>
            <w:t>Queensland</w:t>
          </w:r>
        </w:smartTag>
      </w:smartTag>
      <w:r w:rsidRPr="005B13C8">
        <w:rPr>
          <w:rFonts w:ascii="Arial" w:hAnsi="Arial" w:cs="Arial"/>
          <w:sz w:val="22"/>
          <w:szCs w:val="22"/>
        </w:rPr>
        <w:t xml:space="preserve"> becoming a major producer of non-conventional oil to meet national demand and for export.</w:t>
      </w:r>
      <w:r>
        <w:rPr>
          <w:rFonts w:ascii="Arial" w:hAnsi="Arial" w:cs="Arial"/>
          <w:sz w:val="22"/>
          <w:szCs w:val="22"/>
        </w:rPr>
        <w:t xml:space="preserve">  </w:t>
      </w:r>
      <w:smartTag w:uri="urn:schemas-microsoft-com:office:smarttags" w:element="State">
        <w:r w:rsidRPr="005B13C8">
          <w:rPr>
            <w:rFonts w:ascii="Arial" w:hAnsi="Arial" w:cs="Arial"/>
            <w:sz w:val="22"/>
            <w:szCs w:val="22"/>
          </w:rPr>
          <w:t>Queensland</w:t>
        </w:r>
      </w:smartTag>
      <w:r w:rsidRPr="005B13C8">
        <w:rPr>
          <w:rFonts w:ascii="Arial" w:hAnsi="Arial" w:cs="Arial"/>
          <w:sz w:val="22"/>
          <w:szCs w:val="22"/>
        </w:rPr>
        <w:t xml:space="preserve"> contains 94 per cent of </w:t>
      </w:r>
      <w:smartTag w:uri="urn:schemas-microsoft-com:office:smarttags" w:element="country-region">
        <w:smartTag w:uri="urn:schemas-microsoft-com:office:smarttags" w:element="place">
          <w:r w:rsidRPr="005B13C8">
            <w:rPr>
              <w:rFonts w:ascii="Arial" w:hAnsi="Arial" w:cs="Arial"/>
              <w:sz w:val="22"/>
              <w:szCs w:val="22"/>
            </w:rPr>
            <w:t>Australia</w:t>
          </w:r>
        </w:smartTag>
      </w:smartTag>
      <w:r w:rsidRPr="005B13C8">
        <w:rPr>
          <w:rFonts w:ascii="Arial" w:hAnsi="Arial" w:cs="Arial"/>
          <w:sz w:val="22"/>
          <w:szCs w:val="22"/>
        </w:rPr>
        <w:t xml:space="preserve">’s known oil shale resources.  </w:t>
      </w:r>
    </w:p>
    <w:p w:rsidR="005B13C8" w:rsidRPr="005B13C8" w:rsidRDefault="005B13C8" w:rsidP="005B13C8">
      <w:pPr>
        <w:numPr>
          <w:ilvl w:val="0"/>
          <w:numId w:val="6"/>
        </w:numPr>
        <w:tabs>
          <w:tab w:val="clear" w:pos="720"/>
          <w:tab w:val="num" w:pos="360"/>
        </w:tabs>
        <w:spacing w:before="240"/>
        <w:ind w:left="360"/>
        <w:jc w:val="both"/>
        <w:rPr>
          <w:rFonts w:ascii="Arial" w:hAnsi="Arial" w:cs="Arial"/>
          <w:sz w:val="22"/>
          <w:szCs w:val="22"/>
        </w:rPr>
      </w:pPr>
      <w:r w:rsidRPr="005B13C8">
        <w:rPr>
          <w:rFonts w:ascii="Arial" w:hAnsi="Arial" w:cs="Arial"/>
          <w:sz w:val="22"/>
          <w:szCs w:val="22"/>
        </w:rPr>
        <w:t>There are potential environmental concerns related to development of shale oil, including: very large-scale mining in sensitive coastal environments; substantial water and energy requirements; air and waste emissions from the plant; impacts to and from climate change; and socio-economic impacts from very large-scale industrial developments in regional communities and near tourist destinations.</w:t>
      </w:r>
      <w:r>
        <w:rPr>
          <w:rFonts w:ascii="Arial" w:hAnsi="Arial" w:cs="Arial"/>
          <w:sz w:val="22"/>
          <w:szCs w:val="22"/>
        </w:rPr>
        <w:t xml:space="preserve">  </w:t>
      </w:r>
      <w:r w:rsidRPr="005B13C8">
        <w:rPr>
          <w:rFonts w:ascii="Arial" w:hAnsi="Arial" w:cs="Arial"/>
          <w:sz w:val="22"/>
          <w:szCs w:val="22"/>
        </w:rPr>
        <w:t>There are also significant potential conflicts between current or potential high value land uses that are incompatible with development of the underlying oil shale resources.</w:t>
      </w:r>
    </w:p>
    <w:p w:rsidR="005B13C8" w:rsidRPr="005B13C8" w:rsidRDefault="005B13C8" w:rsidP="005B13C8">
      <w:pPr>
        <w:numPr>
          <w:ilvl w:val="0"/>
          <w:numId w:val="6"/>
        </w:numPr>
        <w:tabs>
          <w:tab w:val="clear" w:pos="720"/>
          <w:tab w:val="num" w:pos="360"/>
        </w:tabs>
        <w:spacing w:before="240"/>
        <w:ind w:left="360"/>
        <w:jc w:val="both"/>
        <w:rPr>
          <w:rFonts w:ascii="Arial" w:hAnsi="Arial" w:cs="Arial"/>
          <w:sz w:val="22"/>
          <w:szCs w:val="22"/>
        </w:rPr>
      </w:pPr>
      <w:r w:rsidRPr="005B13C8">
        <w:rPr>
          <w:rFonts w:ascii="Arial" w:hAnsi="Arial" w:cs="Arial"/>
          <w:sz w:val="22"/>
          <w:szCs w:val="22"/>
          <w:u w:val="single"/>
        </w:rPr>
        <w:t>Cabinet approved</w:t>
      </w:r>
      <w:r w:rsidRPr="005B13C8">
        <w:rPr>
          <w:rFonts w:ascii="Arial" w:hAnsi="Arial" w:cs="Arial"/>
          <w:sz w:val="22"/>
          <w:szCs w:val="22"/>
        </w:rPr>
        <w:t xml:space="preserve"> that, in relation to the McFarlane (Proserpine) shale oil deposit:</w:t>
      </w:r>
    </w:p>
    <w:p w:rsidR="005B13C8" w:rsidRPr="005B13C8" w:rsidRDefault="005B13C8" w:rsidP="0087737B">
      <w:pPr>
        <w:numPr>
          <w:ilvl w:val="0"/>
          <w:numId w:val="15"/>
        </w:numPr>
        <w:ind w:left="811"/>
        <w:jc w:val="both"/>
        <w:rPr>
          <w:rFonts w:ascii="Arial" w:hAnsi="Arial" w:cs="Arial"/>
          <w:sz w:val="22"/>
          <w:szCs w:val="22"/>
        </w:rPr>
      </w:pPr>
      <w:r w:rsidRPr="005B13C8">
        <w:rPr>
          <w:rFonts w:ascii="Arial" w:hAnsi="Arial" w:cs="Arial"/>
          <w:sz w:val="22"/>
          <w:szCs w:val="22"/>
        </w:rPr>
        <w:t>The exploration for and mining of oil shale, the processing of oil shale or preparatory activities for mining of oil shale from the McFarlane (Proserpine) deposit should not be permitted for at least twenty years, due to the need to protect the Whitsunday region’s high environmental values and existing land use activities</w:t>
      </w:r>
      <w:r>
        <w:rPr>
          <w:rFonts w:ascii="Arial" w:hAnsi="Arial" w:cs="Arial"/>
          <w:sz w:val="22"/>
          <w:szCs w:val="22"/>
        </w:rPr>
        <w:t>.</w:t>
      </w:r>
    </w:p>
    <w:p w:rsidR="005B13C8" w:rsidRPr="005B13C8" w:rsidRDefault="005B13C8" w:rsidP="0087737B">
      <w:pPr>
        <w:numPr>
          <w:ilvl w:val="0"/>
          <w:numId w:val="6"/>
        </w:numPr>
        <w:tabs>
          <w:tab w:val="clear" w:pos="720"/>
          <w:tab w:val="num" w:pos="360"/>
        </w:tabs>
        <w:spacing w:before="220"/>
        <w:ind w:left="357" w:hanging="357"/>
        <w:jc w:val="both"/>
        <w:rPr>
          <w:rFonts w:ascii="Arial" w:hAnsi="Arial" w:cs="Arial"/>
          <w:sz w:val="22"/>
          <w:szCs w:val="22"/>
        </w:rPr>
      </w:pPr>
      <w:r w:rsidRPr="005B13C8">
        <w:rPr>
          <w:rFonts w:ascii="Arial" w:hAnsi="Arial" w:cs="Arial"/>
          <w:sz w:val="22"/>
          <w:szCs w:val="22"/>
          <w:u w:val="single"/>
        </w:rPr>
        <w:t>Cabinet approved</w:t>
      </w:r>
      <w:r w:rsidRPr="005B13C8">
        <w:rPr>
          <w:rFonts w:ascii="Arial" w:hAnsi="Arial" w:cs="Arial"/>
          <w:sz w:val="22"/>
          <w:szCs w:val="22"/>
        </w:rPr>
        <w:t xml:space="preserve"> that, in relation to the Stuart (</w:t>
      </w:r>
      <w:smartTag w:uri="urn:schemas-microsoft-com:office:smarttags" w:element="place">
        <w:smartTag w:uri="urn:schemas-microsoft-com:office:smarttags" w:element="City">
          <w:r w:rsidRPr="005B13C8">
            <w:rPr>
              <w:rFonts w:ascii="Arial" w:hAnsi="Arial" w:cs="Arial"/>
              <w:sz w:val="22"/>
              <w:szCs w:val="22"/>
            </w:rPr>
            <w:t>Gladstone</w:t>
          </w:r>
        </w:smartTag>
      </w:smartTag>
      <w:r w:rsidRPr="005B13C8">
        <w:rPr>
          <w:rFonts w:ascii="Arial" w:hAnsi="Arial" w:cs="Arial"/>
          <w:sz w:val="22"/>
          <w:szCs w:val="22"/>
        </w:rPr>
        <w:t>) shale oil deposit:</w:t>
      </w:r>
    </w:p>
    <w:p w:rsidR="005B13C8" w:rsidRPr="005B13C8" w:rsidRDefault="005B13C8" w:rsidP="0087737B">
      <w:pPr>
        <w:numPr>
          <w:ilvl w:val="0"/>
          <w:numId w:val="15"/>
        </w:numPr>
        <w:ind w:left="811"/>
        <w:jc w:val="both"/>
        <w:rPr>
          <w:rFonts w:ascii="Arial" w:hAnsi="Arial" w:cs="Arial"/>
          <w:sz w:val="22"/>
          <w:szCs w:val="22"/>
        </w:rPr>
      </w:pPr>
      <w:r w:rsidRPr="005B13C8">
        <w:rPr>
          <w:rFonts w:ascii="Arial" w:hAnsi="Arial" w:cs="Arial"/>
          <w:sz w:val="22"/>
          <w:szCs w:val="22"/>
        </w:rPr>
        <w:t xml:space="preserve">Existing entitlements under a granted Mining Lease and granted Mineral Development Licences should be allowed to remain, subject to appropriate assessment and the issue of environmental authorities, under the </w:t>
      </w:r>
      <w:r w:rsidRPr="005B13C8">
        <w:rPr>
          <w:rFonts w:ascii="Arial" w:hAnsi="Arial" w:cs="Arial"/>
          <w:i/>
          <w:sz w:val="22"/>
          <w:szCs w:val="22"/>
        </w:rPr>
        <w:t>Environmental Protection Act 1994</w:t>
      </w:r>
      <w:r w:rsidRPr="005B13C8">
        <w:rPr>
          <w:rFonts w:ascii="Arial" w:hAnsi="Arial" w:cs="Arial"/>
          <w:sz w:val="22"/>
          <w:szCs w:val="22"/>
        </w:rPr>
        <w:t>.</w:t>
      </w:r>
    </w:p>
    <w:p w:rsidR="005B13C8" w:rsidRPr="005B13C8" w:rsidRDefault="005B13C8" w:rsidP="0087737B">
      <w:pPr>
        <w:numPr>
          <w:ilvl w:val="0"/>
          <w:numId w:val="15"/>
        </w:numPr>
        <w:ind w:left="811"/>
        <w:jc w:val="both"/>
        <w:rPr>
          <w:rFonts w:ascii="Arial" w:hAnsi="Arial" w:cs="Arial"/>
          <w:sz w:val="22"/>
          <w:szCs w:val="22"/>
        </w:rPr>
      </w:pPr>
      <w:r w:rsidRPr="005B13C8">
        <w:rPr>
          <w:rFonts w:ascii="Arial" w:hAnsi="Arial" w:cs="Arial"/>
          <w:sz w:val="22"/>
          <w:szCs w:val="22"/>
        </w:rPr>
        <w:t xml:space="preserve">New tenures under the </w:t>
      </w:r>
      <w:r w:rsidRPr="005B13C8">
        <w:rPr>
          <w:rFonts w:ascii="Arial" w:hAnsi="Arial" w:cs="Arial"/>
          <w:i/>
          <w:sz w:val="22"/>
          <w:szCs w:val="22"/>
        </w:rPr>
        <w:t>Mineral Resources Act 1989</w:t>
      </w:r>
      <w:r w:rsidRPr="005B13C8">
        <w:rPr>
          <w:rFonts w:ascii="Arial" w:hAnsi="Arial" w:cs="Arial"/>
          <w:sz w:val="22"/>
          <w:szCs w:val="22"/>
        </w:rPr>
        <w:t xml:space="preserve"> and variation of existing entitlements would only be granted within the Stuart area if necessary to allow a proponent to demonstrate the technical and commercial viability of processing and extraction technologies.</w:t>
      </w:r>
    </w:p>
    <w:p w:rsidR="005B13C8" w:rsidRPr="005B13C8" w:rsidRDefault="005B13C8" w:rsidP="0087737B">
      <w:pPr>
        <w:numPr>
          <w:ilvl w:val="0"/>
          <w:numId w:val="15"/>
        </w:numPr>
        <w:ind w:left="811"/>
        <w:jc w:val="both"/>
        <w:rPr>
          <w:rFonts w:ascii="Arial" w:hAnsi="Arial" w:cs="Arial"/>
          <w:sz w:val="22"/>
          <w:szCs w:val="22"/>
        </w:rPr>
      </w:pPr>
      <w:r w:rsidRPr="005B13C8">
        <w:rPr>
          <w:rFonts w:ascii="Arial" w:hAnsi="Arial" w:cs="Arial"/>
          <w:sz w:val="22"/>
          <w:szCs w:val="22"/>
        </w:rPr>
        <w:t>In the event that facilities be developed for the sampling and processing of oil shale at Stuart (</w:t>
      </w:r>
      <w:smartTag w:uri="urn:schemas-microsoft-com:office:smarttags" w:element="City">
        <w:smartTag w:uri="urn:schemas-microsoft-com:office:smarttags" w:element="place">
          <w:r w:rsidRPr="005B13C8">
            <w:rPr>
              <w:rFonts w:ascii="Arial" w:hAnsi="Arial" w:cs="Arial"/>
              <w:sz w:val="22"/>
              <w:szCs w:val="22"/>
            </w:rPr>
            <w:t>Gladstone</w:t>
          </w:r>
        </w:smartTag>
      </w:smartTag>
      <w:r w:rsidRPr="005B13C8">
        <w:rPr>
          <w:rFonts w:ascii="Arial" w:hAnsi="Arial" w:cs="Arial"/>
          <w:sz w:val="22"/>
          <w:szCs w:val="22"/>
        </w:rPr>
        <w:t>) under ML80003, the impact of those facilities will be assessed by the proponent with independent verification by Government within two years of commencing operation, taking into account:</w:t>
      </w:r>
    </w:p>
    <w:p w:rsidR="005B13C8" w:rsidRPr="005B13C8" w:rsidRDefault="005B13C8" w:rsidP="0087737B">
      <w:pPr>
        <w:numPr>
          <w:ilvl w:val="1"/>
          <w:numId w:val="15"/>
        </w:numPr>
        <w:tabs>
          <w:tab w:val="clear" w:pos="1800"/>
          <w:tab w:val="num" w:pos="1080"/>
        </w:tabs>
        <w:ind w:left="1083" w:hanging="181"/>
        <w:jc w:val="both"/>
        <w:rPr>
          <w:rFonts w:ascii="Arial" w:hAnsi="Arial" w:cs="Arial"/>
          <w:sz w:val="22"/>
          <w:szCs w:val="22"/>
        </w:rPr>
      </w:pPr>
      <w:r w:rsidRPr="005B13C8">
        <w:rPr>
          <w:rFonts w:ascii="Arial" w:hAnsi="Arial" w:cs="Arial"/>
          <w:sz w:val="22"/>
          <w:szCs w:val="22"/>
        </w:rPr>
        <w:t>the effectiveness of the technology;</w:t>
      </w:r>
    </w:p>
    <w:p w:rsidR="005B13C8" w:rsidRPr="005B13C8" w:rsidRDefault="005B13C8" w:rsidP="0087737B">
      <w:pPr>
        <w:numPr>
          <w:ilvl w:val="1"/>
          <w:numId w:val="15"/>
        </w:numPr>
        <w:tabs>
          <w:tab w:val="clear" w:pos="1800"/>
          <w:tab w:val="num" w:pos="1080"/>
        </w:tabs>
        <w:ind w:left="1083" w:hanging="181"/>
        <w:jc w:val="both"/>
        <w:rPr>
          <w:rFonts w:ascii="Arial" w:hAnsi="Arial" w:cs="Arial"/>
          <w:sz w:val="22"/>
          <w:szCs w:val="22"/>
        </w:rPr>
      </w:pPr>
      <w:r w:rsidRPr="005B13C8">
        <w:rPr>
          <w:rFonts w:ascii="Arial" w:hAnsi="Arial" w:cs="Arial"/>
          <w:sz w:val="22"/>
          <w:szCs w:val="22"/>
        </w:rPr>
        <w:t xml:space="preserve">the impact of the processing facility on the environment and the local community; </w:t>
      </w:r>
    </w:p>
    <w:p w:rsidR="005B13C8" w:rsidRPr="005B13C8" w:rsidRDefault="005B13C8" w:rsidP="0087737B">
      <w:pPr>
        <w:numPr>
          <w:ilvl w:val="1"/>
          <w:numId w:val="15"/>
        </w:numPr>
        <w:tabs>
          <w:tab w:val="clear" w:pos="1800"/>
          <w:tab w:val="num" w:pos="1080"/>
        </w:tabs>
        <w:ind w:left="1083" w:hanging="181"/>
        <w:jc w:val="both"/>
        <w:rPr>
          <w:rFonts w:ascii="Arial" w:hAnsi="Arial" w:cs="Arial"/>
          <w:sz w:val="22"/>
          <w:szCs w:val="22"/>
        </w:rPr>
      </w:pPr>
      <w:r w:rsidRPr="005B13C8">
        <w:rPr>
          <w:rFonts w:ascii="Arial" w:hAnsi="Arial" w:cs="Arial"/>
          <w:sz w:val="22"/>
          <w:szCs w:val="22"/>
        </w:rPr>
        <w:t>the appropriateness of shale oil as part of the fuel and energy cycle.</w:t>
      </w:r>
    </w:p>
    <w:p w:rsidR="00393F10" w:rsidRPr="0087737B" w:rsidRDefault="005B13C8" w:rsidP="0087737B">
      <w:pPr>
        <w:numPr>
          <w:ilvl w:val="0"/>
          <w:numId w:val="6"/>
        </w:numPr>
        <w:tabs>
          <w:tab w:val="clear" w:pos="720"/>
          <w:tab w:val="num" w:pos="360"/>
        </w:tabs>
        <w:spacing w:before="220"/>
        <w:ind w:left="357" w:hanging="357"/>
        <w:jc w:val="both"/>
        <w:rPr>
          <w:rFonts w:ascii="Arial" w:hAnsi="Arial" w:cs="Arial"/>
          <w:sz w:val="22"/>
          <w:szCs w:val="22"/>
          <w:u w:val="single"/>
        </w:rPr>
      </w:pPr>
      <w:r w:rsidRPr="005B13C8">
        <w:rPr>
          <w:rFonts w:ascii="Arial" w:hAnsi="Arial" w:cs="Arial"/>
          <w:sz w:val="22"/>
          <w:szCs w:val="22"/>
          <w:u w:val="single"/>
        </w:rPr>
        <w:t>Cabinet approved</w:t>
      </w:r>
      <w:r w:rsidRPr="005B13C8">
        <w:rPr>
          <w:rFonts w:ascii="Arial" w:hAnsi="Arial" w:cs="Arial"/>
          <w:sz w:val="22"/>
          <w:szCs w:val="22"/>
        </w:rPr>
        <w:t xml:space="preserve"> that, in relation to remaining shale oil resources in Queensland, a report is to </w:t>
      </w:r>
      <w:r>
        <w:rPr>
          <w:rFonts w:ascii="Arial" w:hAnsi="Arial" w:cs="Arial"/>
          <w:sz w:val="22"/>
          <w:szCs w:val="22"/>
        </w:rPr>
        <w:t xml:space="preserve">be </w:t>
      </w:r>
      <w:r w:rsidRPr="005B13C8">
        <w:rPr>
          <w:rFonts w:ascii="Arial" w:hAnsi="Arial" w:cs="Arial"/>
          <w:sz w:val="22"/>
          <w:szCs w:val="22"/>
        </w:rPr>
        <w:t>prepared no earlier than two years</w:t>
      </w:r>
      <w:r w:rsidR="00380C4E">
        <w:rPr>
          <w:rFonts w:ascii="Arial" w:hAnsi="Arial" w:cs="Arial"/>
          <w:sz w:val="22"/>
          <w:szCs w:val="22"/>
        </w:rPr>
        <w:t xml:space="preserve"> </w:t>
      </w:r>
      <w:r w:rsidR="00380C4E" w:rsidRPr="005E6347">
        <w:rPr>
          <w:rFonts w:ascii="Arial" w:hAnsi="Arial" w:cs="Arial"/>
          <w:sz w:val="22"/>
          <w:szCs w:val="22"/>
        </w:rPr>
        <w:t>(in order to allow research in relation to viability of technology to come to fruition)</w:t>
      </w:r>
      <w:r w:rsidRPr="005B13C8">
        <w:rPr>
          <w:rFonts w:ascii="Arial" w:hAnsi="Arial" w:cs="Arial"/>
          <w:sz w:val="22"/>
          <w:szCs w:val="22"/>
        </w:rPr>
        <w:t xml:space="preserve">, identifying existing known resources and making recommendations to the government about the desirability of exploitation of </w:t>
      </w:r>
      <w:r w:rsidRPr="00816F4B">
        <w:rPr>
          <w:rFonts w:ascii="Arial" w:hAnsi="Arial" w:cs="Arial"/>
          <w:sz w:val="22"/>
          <w:szCs w:val="22"/>
        </w:rPr>
        <w:t>those resources</w:t>
      </w:r>
      <w:r w:rsidR="00C92FBB" w:rsidRPr="00816F4B">
        <w:rPr>
          <w:rFonts w:ascii="Arial" w:hAnsi="Arial" w:cs="Arial"/>
          <w:sz w:val="22"/>
          <w:szCs w:val="22"/>
        </w:rPr>
        <w:t xml:space="preserve">. </w:t>
      </w:r>
      <w:r w:rsidR="00393F10" w:rsidRPr="00816F4B">
        <w:rPr>
          <w:rFonts w:ascii="Arial" w:hAnsi="Arial" w:cs="Arial"/>
          <w:sz w:val="22"/>
          <w:szCs w:val="22"/>
        </w:rPr>
        <w:t xml:space="preserve">Except for exploration tenures, the grant of new tenures and the variation of existing entitlements relating to oil shale will be suspended </w:t>
      </w:r>
      <w:r w:rsidR="00F25454" w:rsidRPr="00816F4B">
        <w:rPr>
          <w:rFonts w:ascii="Arial" w:hAnsi="Arial" w:cs="Arial"/>
          <w:sz w:val="22"/>
          <w:szCs w:val="22"/>
        </w:rPr>
        <w:t xml:space="preserve">until the report above has been considered by </w:t>
      </w:r>
      <w:r w:rsidR="00015974">
        <w:rPr>
          <w:rFonts w:ascii="Arial" w:hAnsi="Arial" w:cs="Arial"/>
          <w:sz w:val="22"/>
          <w:szCs w:val="22"/>
        </w:rPr>
        <w:t>Government</w:t>
      </w:r>
      <w:r w:rsidR="0087737B">
        <w:rPr>
          <w:rFonts w:ascii="Arial" w:hAnsi="Arial" w:cs="Arial"/>
          <w:sz w:val="22"/>
          <w:szCs w:val="22"/>
        </w:rPr>
        <w:t>.</w:t>
      </w:r>
    </w:p>
    <w:p w:rsidR="001D57C9" w:rsidRDefault="00816F4B" w:rsidP="0087737B">
      <w:pPr>
        <w:numPr>
          <w:ilvl w:val="0"/>
          <w:numId w:val="6"/>
        </w:numPr>
        <w:tabs>
          <w:tab w:val="clear" w:pos="720"/>
          <w:tab w:val="num" w:pos="360"/>
        </w:tabs>
        <w:spacing w:before="220"/>
        <w:ind w:left="357" w:hanging="357"/>
        <w:jc w:val="both"/>
        <w:rPr>
          <w:rFonts w:ascii="Arial" w:hAnsi="Arial" w:cs="Arial"/>
          <w:sz w:val="22"/>
          <w:szCs w:val="22"/>
        </w:rPr>
      </w:pPr>
      <w:r w:rsidRPr="00816F4B">
        <w:rPr>
          <w:rFonts w:ascii="Arial" w:hAnsi="Arial" w:cs="Arial"/>
          <w:sz w:val="22"/>
          <w:szCs w:val="22"/>
          <w:u w:val="single"/>
        </w:rPr>
        <w:t>Cabinet noted</w:t>
      </w:r>
      <w:r w:rsidRPr="00816F4B">
        <w:rPr>
          <w:rFonts w:ascii="Arial" w:hAnsi="Arial" w:cs="Arial"/>
          <w:sz w:val="22"/>
          <w:szCs w:val="22"/>
        </w:rPr>
        <w:t xml:space="preserve"> that “v</w:t>
      </w:r>
      <w:r w:rsidR="001D57C9" w:rsidRPr="00816F4B">
        <w:rPr>
          <w:rFonts w:ascii="Arial" w:hAnsi="Arial" w:cs="Arial"/>
          <w:sz w:val="22"/>
          <w:szCs w:val="22"/>
        </w:rPr>
        <w:t>ariations</w:t>
      </w:r>
      <w:r w:rsidRPr="00816F4B">
        <w:rPr>
          <w:rFonts w:ascii="Arial" w:hAnsi="Arial" w:cs="Arial"/>
          <w:sz w:val="22"/>
          <w:szCs w:val="22"/>
        </w:rPr>
        <w:t>” with</w:t>
      </w:r>
      <w:r w:rsidR="001D57C9" w:rsidRPr="00816F4B">
        <w:rPr>
          <w:rFonts w:ascii="Arial" w:hAnsi="Arial" w:cs="Arial"/>
          <w:sz w:val="22"/>
          <w:szCs w:val="22"/>
        </w:rPr>
        <w:t xml:space="preserve"> respect to current entitlements does not include assignment of entitlements.</w:t>
      </w:r>
    </w:p>
    <w:p w:rsidR="00205419" w:rsidRPr="00816F4B" w:rsidRDefault="00205419" w:rsidP="00205419">
      <w:pPr>
        <w:jc w:val="both"/>
        <w:rPr>
          <w:rFonts w:ascii="Arial" w:hAnsi="Arial" w:cs="Arial"/>
          <w:sz w:val="22"/>
          <w:szCs w:val="22"/>
        </w:rPr>
      </w:pPr>
    </w:p>
    <w:p w:rsidR="005B13C8" w:rsidRPr="005B13C8" w:rsidRDefault="005B13C8" w:rsidP="0087737B">
      <w:pPr>
        <w:numPr>
          <w:ilvl w:val="0"/>
          <w:numId w:val="6"/>
        </w:numPr>
        <w:tabs>
          <w:tab w:val="clear" w:pos="720"/>
          <w:tab w:val="num" w:pos="360"/>
        </w:tabs>
        <w:spacing w:before="220"/>
        <w:ind w:left="357" w:hanging="357"/>
        <w:jc w:val="both"/>
        <w:rPr>
          <w:rFonts w:ascii="Arial" w:hAnsi="Arial" w:cs="Arial"/>
          <w:sz w:val="22"/>
          <w:szCs w:val="22"/>
        </w:rPr>
      </w:pPr>
      <w:r w:rsidRPr="005B13C8">
        <w:rPr>
          <w:rFonts w:ascii="Arial" w:hAnsi="Arial" w:cs="Arial"/>
          <w:i/>
          <w:sz w:val="22"/>
          <w:szCs w:val="22"/>
          <w:u w:val="single"/>
        </w:rPr>
        <w:t>Attachments</w:t>
      </w:r>
    </w:p>
    <w:p w:rsidR="000B545C" w:rsidRPr="00C07656" w:rsidRDefault="005B13C8" w:rsidP="0087737B">
      <w:pPr>
        <w:numPr>
          <w:ilvl w:val="0"/>
          <w:numId w:val="14"/>
        </w:numPr>
        <w:ind w:left="811"/>
        <w:jc w:val="both"/>
        <w:rPr>
          <w:rFonts w:ascii="Arial" w:hAnsi="Arial" w:cs="Arial"/>
          <w:sz w:val="22"/>
          <w:szCs w:val="22"/>
        </w:rPr>
      </w:pPr>
      <w:r w:rsidRPr="005B13C8">
        <w:rPr>
          <w:rFonts w:ascii="Arial" w:hAnsi="Arial" w:cs="Arial"/>
          <w:sz w:val="22"/>
          <w:szCs w:val="22"/>
        </w:rPr>
        <w:t>Nil</w:t>
      </w:r>
    </w:p>
    <w:sectPr w:rsidR="000B545C" w:rsidRPr="00C07656" w:rsidSect="0087737B">
      <w:headerReference w:type="default" r:id="rId7"/>
      <w:footerReference w:type="default" r:id="rId8"/>
      <w:pgSz w:w="11907" w:h="16840" w:code="9"/>
      <w:pgMar w:top="1985" w:right="1418" w:bottom="540"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8E" w:rsidRDefault="002D198E">
      <w:r>
        <w:separator/>
      </w:r>
    </w:p>
  </w:endnote>
  <w:endnote w:type="continuationSeparator" w:id="0">
    <w:p w:rsidR="002D198E" w:rsidRDefault="002D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0E" w:rsidRPr="001141E1" w:rsidRDefault="00912A0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8E" w:rsidRDefault="002D198E">
      <w:r>
        <w:separator/>
      </w:r>
    </w:p>
  </w:footnote>
  <w:footnote w:type="continuationSeparator" w:id="0">
    <w:p w:rsidR="002D198E" w:rsidRDefault="002D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0E" w:rsidRPr="000400F9" w:rsidRDefault="00A11328" w:rsidP="00B10A75">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912A0E" w:rsidRPr="000400F9">
      <w:rPr>
        <w:rFonts w:ascii="Arial" w:hAnsi="Arial" w:cs="Arial"/>
        <w:b/>
        <w:sz w:val="22"/>
        <w:szCs w:val="22"/>
        <w:u w:val="single"/>
      </w:rPr>
      <w:t xml:space="preserve">Cabinet – </w:t>
    </w:r>
    <w:r w:rsidR="00912A0E">
      <w:rPr>
        <w:rFonts w:ascii="Arial" w:hAnsi="Arial" w:cs="Arial"/>
        <w:b/>
        <w:sz w:val="22"/>
        <w:szCs w:val="22"/>
        <w:u w:val="single"/>
      </w:rPr>
      <w:t>August 2008</w:t>
    </w:r>
  </w:p>
  <w:p w:rsidR="00912A0E" w:rsidRDefault="00912A0E" w:rsidP="000400F9">
    <w:pPr>
      <w:pStyle w:val="Header"/>
      <w:spacing w:before="120"/>
      <w:rPr>
        <w:rFonts w:ascii="Arial" w:hAnsi="Arial" w:cs="Arial"/>
        <w:b/>
        <w:sz w:val="22"/>
        <w:szCs w:val="22"/>
        <w:u w:val="single"/>
      </w:rPr>
    </w:pPr>
    <w:r w:rsidRPr="00B05259">
      <w:rPr>
        <w:rFonts w:ascii="Arial" w:hAnsi="Arial" w:cs="Arial"/>
        <w:b/>
        <w:sz w:val="22"/>
        <w:szCs w:val="22"/>
        <w:u w:val="single"/>
      </w:rPr>
      <w:t xml:space="preserve">Development of Shale Oil in </w:t>
    </w:r>
    <w:smartTag w:uri="urn:schemas-microsoft-com:office:smarttags" w:element="State">
      <w:smartTag w:uri="urn:schemas-microsoft-com:office:smarttags" w:element="place">
        <w:r w:rsidRPr="00B05259">
          <w:rPr>
            <w:rFonts w:ascii="Arial" w:hAnsi="Arial" w:cs="Arial"/>
            <w:b/>
            <w:sz w:val="22"/>
            <w:szCs w:val="22"/>
            <w:u w:val="single"/>
          </w:rPr>
          <w:t>Queensland</w:t>
        </w:r>
      </w:smartTag>
    </w:smartTag>
  </w:p>
  <w:p w:rsidR="00912A0E" w:rsidRDefault="00912A0E" w:rsidP="000400F9">
    <w:pPr>
      <w:pStyle w:val="Header"/>
      <w:spacing w:before="120"/>
      <w:rPr>
        <w:rFonts w:ascii="Arial" w:hAnsi="Arial" w:cs="Arial"/>
        <w:b/>
        <w:sz w:val="22"/>
        <w:szCs w:val="22"/>
        <w:u w:val="single"/>
      </w:rPr>
    </w:pPr>
    <w:r w:rsidRPr="00B05259">
      <w:rPr>
        <w:rFonts w:ascii="Arial" w:hAnsi="Arial" w:cs="Arial"/>
        <w:b/>
        <w:sz w:val="22"/>
        <w:szCs w:val="22"/>
        <w:u w:val="single"/>
      </w:rPr>
      <w:t>Deputy Premier and Minister for Infrastructure and Planning</w:t>
    </w:r>
    <w:r>
      <w:rPr>
        <w:rFonts w:ascii="Arial" w:hAnsi="Arial" w:cs="Arial"/>
        <w:b/>
        <w:sz w:val="22"/>
        <w:szCs w:val="22"/>
        <w:u w:val="single"/>
      </w:rPr>
      <w:t xml:space="preserve">; </w:t>
    </w:r>
    <w:r w:rsidRPr="00B05259">
      <w:rPr>
        <w:rFonts w:ascii="Arial" w:hAnsi="Arial" w:cs="Arial"/>
        <w:b/>
        <w:sz w:val="22"/>
        <w:szCs w:val="22"/>
        <w:u w:val="single"/>
      </w:rPr>
      <w:t xml:space="preserve"> Minister for Mines and Energy</w:t>
    </w:r>
  </w:p>
  <w:p w:rsidR="00912A0E" w:rsidRPr="000400F9" w:rsidRDefault="00912A0E"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07D"/>
    <w:multiLevelType w:val="hybridMultilevel"/>
    <w:tmpl w:val="9B78B790"/>
    <w:lvl w:ilvl="0" w:tplc="0C090003">
      <w:start w:val="1"/>
      <w:numFmt w:val="bullet"/>
      <w:lvlText w:val="o"/>
      <w:lvlJc w:val="left"/>
      <w:pPr>
        <w:tabs>
          <w:tab w:val="num" w:pos="1174"/>
        </w:tabs>
        <w:ind w:left="1174" w:hanging="360"/>
      </w:pPr>
      <w:rPr>
        <w:rFonts w:ascii="Courier New" w:hAnsi="Courier New" w:cs="Courier New" w:hint="default"/>
        <w:color w:val="auto"/>
        <w:sz w:val="23"/>
      </w:rPr>
    </w:lvl>
    <w:lvl w:ilvl="1" w:tplc="8F02EAEE">
      <w:start w:val="1"/>
      <w:numFmt w:val="decimal"/>
      <w:lvlText w:val="%2."/>
      <w:lvlJc w:val="left"/>
      <w:pPr>
        <w:tabs>
          <w:tab w:val="num" w:pos="1897"/>
        </w:tabs>
        <w:ind w:left="1897" w:hanging="363"/>
      </w:pPr>
      <w:rPr>
        <w:rFonts w:hint="default"/>
      </w:rPr>
    </w:lvl>
    <w:lvl w:ilvl="2" w:tplc="0C09001B">
      <w:start w:val="1"/>
      <w:numFmt w:val="lowerRoman"/>
      <w:lvlText w:val="%3."/>
      <w:lvlJc w:val="right"/>
      <w:pPr>
        <w:tabs>
          <w:tab w:val="num" w:pos="2614"/>
        </w:tabs>
        <w:ind w:left="2614" w:hanging="180"/>
      </w:pPr>
    </w:lvl>
    <w:lvl w:ilvl="3" w:tplc="0C09000F" w:tentative="1">
      <w:start w:val="1"/>
      <w:numFmt w:val="decimal"/>
      <w:lvlText w:val="%4."/>
      <w:lvlJc w:val="left"/>
      <w:pPr>
        <w:tabs>
          <w:tab w:val="num" w:pos="3334"/>
        </w:tabs>
        <w:ind w:left="3334" w:hanging="360"/>
      </w:pPr>
    </w:lvl>
    <w:lvl w:ilvl="4" w:tplc="0C090019" w:tentative="1">
      <w:start w:val="1"/>
      <w:numFmt w:val="lowerLetter"/>
      <w:lvlText w:val="%5."/>
      <w:lvlJc w:val="left"/>
      <w:pPr>
        <w:tabs>
          <w:tab w:val="num" w:pos="4054"/>
        </w:tabs>
        <w:ind w:left="4054" w:hanging="360"/>
      </w:pPr>
    </w:lvl>
    <w:lvl w:ilvl="5" w:tplc="0C09001B" w:tentative="1">
      <w:start w:val="1"/>
      <w:numFmt w:val="lowerRoman"/>
      <w:lvlText w:val="%6."/>
      <w:lvlJc w:val="right"/>
      <w:pPr>
        <w:tabs>
          <w:tab w:val="num" w:pos="4774"/>
        </w:tabs>
        <w:ind w:left="4774" w:hanging="180"/>
      </w:pPr>
    </w:lvl>
    <w:lvl w:ilvl="6" w:tplc="0C09000F" w:tentative="1">
      <w:start w:val="1"/>
      <w:numFmt w:val="decimal"/>
      <w:lvlText w:val="%7."/>
      <w:lvlJc w:val="left"/>
      <w:pPr>
        <w:tabs>
          <w:tab w:val="num" w:pos="5494"/>
        </w:tabs>
        <w:ind w:left="5494" w:hanging="360"/>
      </w:pPr>
    </w:lvl>
    <w:lvl w:ilvl="7" w:tplc="0C090019" w:tentative="1">
      <w:start w:val="1"/>
      <w:numFmt w:val="lowerLetter"/>
      <w:lvlText w:val="%8."/>
      <w:lvlJc w:val="left"/>
      <w:pPr>
        <w:tabs>
          <w:tab w:val="num" w:pos="6214"/>
        </w:tabs>
        <w:ind w:left="6214" w:hanging="360"/>
      </w:pPr>
    </w:lvl>
    <w:lvl w:ilvl="8" w:tplc="0C09001B" w:tentative="1">
      <w:start w:val="1"/>
      <w:numFmt w:val="lowerRoman"/>
      <w:lvlText w:val="%9."/>
      <w:lvlJc w:val="right"/>
      <w:pPr>
        <w:tabs>
          <w:tab w:val="num" w:pos="6934"/>
        </w:tabs>
        <w:ind w:left="6934"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E932B6B"/>
    <w:multiLevelType w:val="hybridMultilevel"/>
    <w:tmpl w:val="C50C0AE6"/>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40AC8"/>
    <w:multiLevelType w:val="hybridMultilevel"/>
    <w:tmpl w:val="14F2EAA2"/>
    <w:lvl w:ilvl="0" w:tplc="B7A0238C">
      <w:start w:val="1"/>
      <w:numFmt w:val="bullet"/>
      <w:lvlText w:val=""/>
      <w:lvlJc w:val="left"/>
      <w:pPr>
        <w:tabs>
          <w:tab w:val="num" w:pos="814"/>
        </w:tabs>
        <w:ind w:left="814" w:hanging="454"/>
      </w:pPr>
      <w:rPr>
        <w:rFonts w:ascii="Symbol" w:hAnsi="Symbol" w:hint="default"/>
        <w:color w:val="auto"/>
        <w:sz w:val="23"/>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3B2FAC"/>
    <w:multiLevelType w:val="hybridMultilevel"/>
    <w:tmpl w:val="6E2AD94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2"/>
  </w:num>
  <w:num w:numId="4">
    <w:abstractNumId w:val="4"/>
  </w:num>
  <w:num w:numId="5">
    <w:abstractNumId w:val="3"/>
  </w:num>
  <w:num w:numId="6">
    <w:abstractNumId w:val="14"/>
  </w:num>
  <w:num w:numId="7">
    <w:abstractNumId w:val="13"/>
  </w:num>
  <w:num w:numId="8">
    <w:abstractNumId w:val="11"/>
  </w:num>
  <w:num w:numId="9">
    <w:abstractNumId w:val="10"/>
  </w:num>
  <w:num w:numId="10">
    <w:abstractNumId w:val="6"/>
  </w:num>
  <w:num w:numId="11">
    <w:abstractNumId w:val="5"/>
  </w:num>
  <w:num w:numId="12">
    <w:abstractNumId w:val="8"/>
  </w:num>
  <w:num w:numId="13">
    <w:abstractNumId w:val="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59"/>
    <w:rsid w:val="00014CA5"/>
    <w:rsid w:val="00015974"/>
    <w:rsid w:val="00021B34"/>
    <w:rsid w:val="000400F9"/>
    <w:rsid w:val="00046AFF"/>
    <w:rsid w:val="00046C4B"/>
    <w:rsid w:val="00060E0C"/>
    <w:rsid w:val="0007200E"/>
    <w:rsid w:val="000A0249"/>
    <w:rsid w:val="000B545C"/>
    <w:rsid w:val="000E2114"/>
    <w:rsid w:val="00111E80"/>
    <w:rsid w:val="001141E1"/>
    <w:rsid w:val="00133013"/>
    <w:rsid w:val="00133A34"/>
    <w:rsid w:val="00160524"/>
    <w:rsid w:val="001A1386"/>
    <w:rsid w:val="001D57C9"/>
    <w:rsid w:val="00205419"/>
    <w:rsid w:val="00225892"/>
    <w:rsid w:val="00227C78"/>
    <w:rsid w:val="00254E35"/>
    <w:rsid w:val="0028053C"/>
    <w:rsid w:val="002D198E"/>
    <w:rsid w:val="002F57E4"/>
    <w:rsid w:val="00306255"/>
    <w:rsid w:val="0032048B"/>
    <w:rsid w:val="0033239A"/>
    <w:rsid w:val="00333B8E"/>
    <w:rsid w:val="00346156"/>
    <w:rsid w:val="00373EBF"/>
    <w:rsid w:val="00380C4E"/>
    <w:rsid w:val="00382380"/>
    <w:rsid w:val="00393F10"/>
    <w:rsid w:val="003A269C"/>
    <w:rsid w:val="003C3732"/>
    <w:rsid w:val="00435BE5"/>
    <w:rsid w:val="004635A7"/>
    <w:rsid w:val="0048019C"/>
    <w:rsid w:val="00486A99"/>
    <w:rsid w:val="004A1252"/>
    <w:rsid w:val="004E6C38"/>
    <w:rsid w:val="00535B89"/>
    <w:rsid w:val="00561A00"/>
    <w:rsid w:val="0056401D"/>
    <w:rsid w:val="005B13C8"/>
    <w:rsid w:val="005B1D9B"/>
    <w:rsid w:val="005E4B14"/>
    <w:rsid w:val="005E6347"/>
    <w:rsid w:val="005F5A5B"/>
    <w:rsid w:val="006100CC"/>
    <w:rsid w:val="00610269"/>
    <w:rsid w:val="00644076"/>
    <w:rsid w:val="006631CF"/>
    <w:rsid w:val="006B3B54"/>
    <w:rsid w:val="006D0869"/>
    <w:rsid w:val="006E6713"/>
    <w:rsid w:val="007060D7"/>
    <w:rsid w:val="00712F1A"/>
    <w:rsid w:val="00726F36"/>
    <w:rsid w:val="007A25F4"/>
    <w:rsid w:val="007A6599"/>
    <w:rsid w:val="007F52D6"/>
    <w:rsid w:val="00816F4B"/>
    <w:rsid w:val="0082040E"/>
    <w:rsid w:val="00845D3E"/>
    <w:rsid w:val="00860D6C"/>
    <w:rsid w:val="0087737B"/>
    <w:rsid w:val="00880D42"/>
    <w:rsid w:val="008A5F1B"/>
    <w:rsid w:val="008B4210"/>
    <w:rsid w:val="008B7E17"/>
    <w:rsid w:val="008C521A"/>
    <w:rsid w:val="008F44CD"/>
    <w:rsid w:val="00901B3E"/>
    <w:rsid w:val="00912A0E"/>
    <w:rsid w:val="00922A5B"/>
    <w:rsid w:val="009D0C12"/>
    <w:rsid w:val="009F5476"/>
    <w:rsid w:val="00A11328"/>
    <w:rsid w:val="00A130B2"/>
    <w:rsid w:val="00A20C0E"/>
    <w:rsid w:val="00A30F55"/>
    <w:rsid w:val="00A72491"/>
    <w:rsid w:val="00AA128C"/>
    <w:rsid w:val="00AB6637"/>
    <w:rsid w:val="00AD3EC9"/>
    <w:rsid w:val="00AE1995"/>
    <w:rsid w:val="00B05259"/>
    <w:rsid w:val="00B10A75"/>
    <w:rsid w:val="00B30A2A"/>
    <w:rsid w:val="00B40BDF"/>
    <w:rsid w:val="00B62674"/>
    <w:rsid w:val="00B96189"/>
    <w:rsid w:val="00B96F30"/>
    <w:rsid w:val="00BD5A88"/>
    <w:rsid w:val="00C00C32"/>
    <w:rsid w:val="00C045A2"/>
    <w:rsid w:val="00C07656"/>
    <w:rsid w:val="00C85B71"/>
    <w:rsid w:val="00C92FBB"/>
    <w:rsid w:val="00CE6FBA"/>
    <w:rsid w:val="00D02B85"/>
    <w:rsid w:val="00D33C60"/>
    <w:rsid w:val="00D637A8"/>
    <w:rsid w:val="00DD3CD5"/>
    <w:rsid w:val="00DD497C"/>
    <w:rsid w:val="00E463C2"/>
    <w:rsid w:val="00E502B1"/>
    <w:rsid w:val="00E80E23"/>
    <w:rsid w:val="00EA00BF"/>
    <w:rsid w:val="00EE1DCD"/>
    <w:rsid w:val="00F11044"/>
    <w:rsid w:val="00F15BF8"/>
    <w:rsid w:val="00F25454"/>
    <w:rsid w:val="00F414C3"/>
    <w:rsid w:val="00F756F8"/>
    <w:rsid w:val="00FB1476"/>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2603</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CharactersWithSpaces>
  <SharedDoc>false</SharedDoc>
  <HyperlinkBase>https://www.cabinet.qld.gov.au/documents/2008/Aug/Development of Shale Oil/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2008-10-31T05:30:00Z</cp:lastPrinted>
  <dcterms:created xsi:type="dcterms:W3CDTF">2017-10-24T07:43:00Z</dcterms:created>
  <dcterms:modified xsi:type="dcterms:W3CDTF">2018-03-06T00:50:00Z</dcterms:modified>
  <cp:category>Oil,Environmental_Protection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